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1CA4" w14:textId="44AADB41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762E590D" wp14:editId="6B1B5064">
                <wp:simplePos x="0" y="0"/>
                <wp:positionH relativeFrom="column">
                  <wp:posOffset>635</wp:posOffset>
                </wp:positionH>
                <wp:positionV relativeFrom="paragraph">
                  <wp:posOffset>860425</wp:posOffset>
                </wp:positionV>
                <wp:extent cx="13970" cy="421640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54D60" w14:textId="77777777" w:rsidR="008B332C" w:rsidRPr="00B26370" w:rsidRDefault="008B332C" w:rsidP="008B33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E5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67.75pt;width:1.1pt;height:33.2pt;z-index:25165926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" stroked="f">
                <v:textbox inset="0,0,0,0">
                  <w:txbxContent>
                    <w:p w14:paraId="2F554D60" w14:textId="77777777" w:rsidR="008B332C" w:rsidRPr="00B26370" w:rsidRDefault="008B332C" w:rsidP="008B332C"/>
                  </w:txbxContent>
                </v:textbox>
                <w10:wrap type="square" side="largest"/>
              </v:shape>
            </w:pict>
          </mc:Fallback>
        </mc:AlternateContent>
      </w:r>
      <w:r w:rsidR="00DF199F"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 xml:space="preserve">OBRAZLOŽENJE UZ PRIJEDLOG I. IZMJENA I DOPUNA </w:t>
      </w:r>
      <w:r>
        <w:rPr>
          <w:rFonts w:ascii="Calibri" w:hAnsi="Calibri" w:cs="Calibri"/>
          <w:sz w:val="22"/>
          <w:szCs w:val="22"/>
        </w:rPr>
        <w:t>FINANCIJSKOG PLANA</w:t>
      </w:r>
      <w:r w:rsidRPr="003730F6">
        <w:rPr>
          <w:rFonts w:ascii="Calibri" w:hAnsi="Calibri" w:cs="Calibri"/>
          <w:sz w:val="22"/>
          <w:szCs w:val="22"/>
        </w:rPr>
        <w:t xml:space="preserve"> LOKALNE RAZVOJNE AGENCIJE POŽEGA ZA 202</w:t>
      </w:r>
      <w:r w:rsidR="0052263D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 xml:space="preserve">. GODINU </w:t>
      </w:r>
    </w:p>
    <w:p w14:paraId="6AAF85A2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</w:p>
    <w:p w14:paraId="6AA691AF" w14:textId="77777777" w:rsidR="008B332C" w:rsidRPr="003730F6" w:rsidRDefault="008B332C" w:rsidP="008B332C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UVOD</w:t>
      </w:r>
    </w:p>
    <w:p w14:paraId="132FCDC1" w14:textId="686081B1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Financijski plan</w:t>
      </w:r>
      <w:r w:rsidRPr="003730F6">
        <w:rPr>
          <w:rFonts w:ascii="Calibri" w:hAnsi="Calibri" w:cs="Calibri"/>
          <w:sz w:val="22"/>
          <w:szCs w:val="22"/>
        </w:rPr>
        <w:t xml:space="preserve"> Lokalne razvojne agencije Požega za 202</w:t>
      </w:r>
      <w:r w:rsidR="0052263D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 xml:space="preserve">. godinu usvojilo je Upravno vijeće na </w:t>
      </w:r>
      <w:r w:rsidR="0052263D">
        <w:rPr>
          <w:rFonts w:ascii="Calibri" w:hAnsi="Calibri" w:cs="Calibri"/>
          <w:sz w:val="22"/>
          <w:szCs w:val="22"/>
        </w:rPr>
        <w:t>15</w:t>
      </w:r>
      <w:r w:rsidRPr="003730F6">
        <w:rPr>
          <w:rFonts w:ascii="Calibri" w:hAnsi="Calibri" w:cs="Calibri"/>
          <w:sz w:val="22"/>
          <w:szCs w:val="22"/>
        </w:rPr>
        <w:t>. sjednici</w:t>
      </w:r>
      <w:r w:rsidR="00857797">
        <w:rPr>
          <w:rFonts w:ascii="Calibri" w:hAnsi="Calibri" w:cs="Calibri"/>
          <w:sz w:val="22"/>
          <w:szCs w:val="22"/>
        </w:rPr>
        <w:t>,</w:t>
      </w:r>
      <w:r w:rsidRPr="003730F6">
        <w:rPr>
          <w:rFonts w:ascii="Calibri" w:hAnsi="Calibri" w:cs="Calibri"/>
          <w:sz w:val="22"/>
          <w:szCs w:val="22"/>
        </w:rPr>
        <w:t xml:space="preserve"> </w:t>
      </w:r>
      <w:r w:rsidR="0052263D">
        <w:rPr>
          <w:rFonts w:ascii="Calibri" w:hAnsi="Calibri" w:cs="Calibri"/>
          <w:sz w:val="22"/>
          <w:szCs w:val="22"/>
        </w:rPr>
        <w:t xml:space="preserve">održanoj </w:t>
      </w:r>
      <w:r w:rsidRPr="003730F6">
        <w:rPr>
          <w:rFonts w:ascii="Calibri" w:hAnsi="Calibri" w:cs="Calibri"/>
          <w:sz w:val="22"/>
          <w:szCs w:val="22"/>
        </w:rPr>
        <w:t>dana</w:t>
      </w:r>
      <w:r w:rsidR="00857797">
        <w:rPr>
          <w:rFonts w:ascii="Calibri" w:hAnsi="Calibri" w:cs="Calibri"/>
          <w:sz w:val="22"/>
          <w:szCs w:val="22"/>
        </w:rPr>
        <w:t xml:space="preserve"> </w:t>
      </w:r>
      <w:r w:rsidR="0052263D">
        <w:rPr>
          <w:rFonts w:ascii="Calibri" w:hAnsi="Calibri" w:cs="Calibri"/>
          <w:sz w:val="22"/>
          <w:szCs w:val="22"/>
        </w:rPr>
        <w:t>30</w:t>
      </w:r>
      <w:r w:rsidRPr="003730F6">
        <w:rPr>
          <w:rFonts w:ascii="Calibri" w:hAnsi="Calibri" w:cs="Calibri"/>
          <w:sz w:val="22"/>
          <w:szCs w:val="22"/>
        </w:rPr>
        <w:t>.</w:t>
      </w:r>
      <w:r w:rsidR="0052263D">
        <w:rPr>
          <w:rFonts w:ascii="Calibri" w:hAnsi="Calibri" w:cs="Calibri"/>
          <w:sz w:val="22"/>
          <w:szCs w:val="22"/>
        </w:rPr>
        <w:t xml:space="preserve"> listopada 2024.</w:t>
      </w:r>
      <w:r w:rsidRPr="003730F6">
        <w:rPr>
          <w:rFonts w:ascii="Calibri" w:hAnsi="Calibri" w:cs="Calibri"/>
          <w:sz w:val="22"/>
          <w:szCs w:val="22"/>
        </w:rPr>
        <w:t xml:space="preserve"> u iznosu </w:t>
      </w:r>
      <w:r w:rsidR="0052263D">
        <w:rPr>
          <w:rFonts w:ascii="Calibri" w:hAnsi="Calibri" w:cs="Calibri"/>
          <w:sz w:val="22"/>
          <w:szCs w:val="22"/>
        </w:rPr>
        <w:t>398.500,00</w:t>
      </w:r>
      <w:r w:rsidRPr="003730F6">
        <w:rPr>
          <w:rFonts w:ascii="Calibri" w:hAnsi="Calibri" w:cs="Calibri"/>
          <w:sz w:val="22"/>
          <w:szCs w:val="22"/>
        </w:rPr>
        <w:t xml:space="preserve"> €</w:t>
      </w:r>
      <w:r>
        <w:rPr>
          <w:rFonts w:ascii="Calibri" w:hAnsi="Calibri" w:cs="Calibri"/>
          <w:sz w:val="22"/>
          <w:szCs w:val="22"/>
        </w:rPr>
        <w:t>.</w:t>
      </w:r>
    </w:p>
    <w:p w14:paraId="2BF51D29" w14:textId="0B996FF6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Zakonska osnova za donošenje Izmjena i dopuna</w:t>
      </w:r>
      <w:r>
        <w:rPr>
          <w:rFonts w:ascii="Calibri" w:hAnsi="Calibri" w:cs="Calibri"/>
          <w:sz w:val="22"/>
          <w:szCs w:val="22"/>
        </w:rPr>
        <w:t xml:space="preserve"> financijskog plana</w:t>
      </w:r>
      <w:r w:rsidRPr="003730F6">
        <w:rPr>
          <w:rFonts w:ascii="Calibri" w:hAnsi="Calibri" w:cs="Calibri"/>
          <w:sz w:val="22"/>
          <w:szCs w:val="22"/>
        </w:rPr>
        <w:t xml:space="preserve"> Lokalne razvojne agencije za 202</w:t>
      </w:r>
      <w:r w:rsidR="00C71324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>. godinu je u odredbama Zakona o proračunu (Narodne novine, broj: 144/21.).</w:t>
      </w:r>
    </w:p>
    <w:p w14:paraId="756C82A3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EDC91C3" w14:textId="77777777" w:rsidR="008B332C" w:rsidRPr="003730F6" w:rsidRDefault="008B332C" w:rsidP="008B332C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 OBRAZLOŽENJE PRIHODA I PRIMITAKA, RASHODA I IZDATAKA – OPĆI DIO</w:t>
      </w:r>
    </w:p>
    <w:p w14:paraId="4ED0CB11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B0B343A" w14:textId="77777777" w:rsidR="008B332C" w:rsidRPr="003730F6" w:rsidRDefault="008B332C" w:rsidP="008B332C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PRIHODI I PRIMICI PO EKONOMSKOJ KLASIFIKACIJI</w:t>
      </w:r>
    </w:p>
    <w:p w14:paraId="37DF61DF" w14:textId="77777777" w:rsidR="008B332C" w:rsidRPr="003730F6" w:rsidRDefault="008B332C" w:rsidP="008B332C">
      <w:pPr>
        <w:pStyle w:val="Odlomakpopisa"/>
        <w:rPr>
          <w:rFonts w:ascii="Calibri" w:hAnsi="Calibri" w:cs="Calibri"/>
          <w:sz w:val="22"/>
          <w:szCs w:val="22"/>
        </w:rPr>
      </w:pPr>
    </w:p>
    <w:p w14:paraId="0FBA88D3" w14:textId="1E2C28E8" w:rsidR="008B332C" w:rsidRPr="00FF4998" w:rsidRDefault="00FF4998" w:rsidP="00FF4998">
      <w:pPr>
        <w:pStyle w:val="Odlomakpopisa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B332C" w:rsidRPr="00FF4998">
        <w:rPr>
          <w:rFonts w:ascii="Calibri" w:hAnsi="Calibri" w:cs="Calibri"/>
          <w:sz w:val="22"/>
          <w:szCs w:val="22"/>
        </w:rPr>
        <w:t>PRIHODI POSLOVANJA</w:t>
      </w:r>
    </w:p>
    <w:p w14:paraId="021FADD8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45CEADF" w14:textId="3685075D" w:rsidR="008B332C" w:rsidRDefault="008B332C" w:rsidP="008B332C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I. Izmjenama i dopunama </w:t>
      </w:r>
      <w:r>
        <w:rPr>
          <w:rFonts w:ascii="Calibri" w:hAnsi="Calibri" w:cs="Calibri"/>
          <w:sz w:val="22"/>
          <w:szCs w:val="22"/>
        </w:rPr>
        <w:t>financijskog plana</w:t>
      </w:r>
      <w:r w:rsidRPr="003730F6">
        <w:rPr>
          <w:rFonts w:ascii="Calibri" w:hAnsi="Calibri" w:cs="Calibri"/>
          <w:sz w:val="22"/>
          <w:szCs w:val="22"/>
        </w:rPr>
        <w:t xml:space="preserve"> Agencije za 202</w:t>
      </w:r>
      <w:r w:rsidR="00687579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 xml:space="preserve">. godinu planirani prihodi poslovanja iznose </w:t>
      </w:r>
      <w:r w:rsidR="001A0D69">
        <w:rPr>
          <w:rFonts w:ascii="Calibri" w:hAnsi="Calibri" w:cs="Calibri"/>
          <w:sz w:val="22"/>
          <w:szCs w:val="22"/>
        </w:rPr>
        <w:t>3</w:t>
      </w:r>
      <w:r w:rsidR="00AC47EA">
        <w:rPr>
          <w:rFonts w:ascii="Calibri" w:hAnsi="Calibri" w:cs="Calibri"/>
          <w:sz w:val="22"/>
          <w:szCs w:val="22"/>
        </w:rPr>
        <w:t>92.700</w:t>
      </w:r>
      <w:r>
        <w:rPr>
          <w:rFonts w:ascii="Calibri" w:hAnsi="Calibri" w:cs="Calibri"/>
          <w:sz w:val="22"/>
          <w:szCs w:val="22"/>
        </w:rPr>
        <w:t>,00</w:t>
      </w:r>
      <w:r w:rsidRPr="003730F6">
        <w:rPr>
          <w:rFonts w:ascii="Calibri" w:hAnsi="Calibri" w:cs="Calibri"/>
          <w:sz w:val="22"/>
          <w:szCs w:val="22"/>
        </w:rPr>
        <w:t xml:space="preserve"> €.</w:t>
      </w:r>
    </w:p>
    <w:p w14:paraId="4BAB37B8" w14:textId="77777777" w:rsidR="008B332C" w:rsidRPr="003730F6" w:rsidRDefault="008B332C" w:rsidP="008B332C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02855BFF" w14:textId="77777777" w:rsidR="008B332C" w:rsidRPr="003730F6" w:rsidRDefault="008B332C" w:rsidP="008B332C">
      <w:pPr>
        <w:ind w:firstLine="708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Plan i promjena poslovanja po skupinama </w:t>
      </w:r>
    </w:p>
    <w:tbl>
      <w:tblPr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77"/>
        <w:gridCol w:w="1511"/>
        <w:gridCol w:w="1399"/>
        <w:gridCol w:w="1559"/>
      </w:tblGrid>
      <w:tr w:rsidR="000517A5" w:rsidRPr="003730F6" w14:paraId="14E26E7E" w14:textId="77777777" w:rsidTr="00471722">
        <w:trPr>
          <w:trHeight w:val="255"/>
          <w:jc w:val="center"/>
        </w:trPr>
        <w:tc>
          <w:tcPr>
            <w:tcW w:w="988" w:type="dxa"/>
            <w:shd w:val="clear" w:color="auto" w:fill="D0CECE"/>
            <w:noWrap/>
            <w:vAlign w:val="center"/>
          </w:tcPr>
          <w:p w14:paraId="51270A6C" w14:textId="77777777" w:rsidR="000517A5" w:rsidRPr="003730F6" w:rsidRDefault="000517A5" w:rsidP="000517A5">
            <w:pPr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KONTO</w:t>
            </w: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61C7A155" w14:textId="77777777" w:rsidR="000517A5" w:rsidRPr="003730F6" w:rsidRDefault="000517A5" w:rsidP="000517A5">
            <w:pPr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VRSTA PRIHODA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42853164" w14:textId="3B3F3BF6" w:rsidR="000517A5" w:rsidRPr="000517A5" w:rsidRDefault="00857797" w:rsidP="00A319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FINANCIJSKI PLAN </w:t>
            </w:r>
            <w:r w:rsidR="000517A5"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2025.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0AC4984E" w14:textId="541D8C77" w:rsidR="000517A5" w:rsidRPr="000517A5" w:rsidRDefault="000517A5" w:rsidP="000517A5">
            <w:pPr>
              <w:rPr>
                <w:rFonts w:ascii="Calibri" w:hAnsi="Calibri" w:cs="Calibri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3313AD0C" w14:textId="53817A6A" w:rsidR="000517A5" w:rsidRPr="000517A5" w:rsidRDefault="000517A5" w:rsidP="000517A5">
            <w:pPr>
              <w:rPr>
                <w:rFonts w:ascii="Calibri" w:hAnsi="Calibri" w:cs="Calibri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I.REBALANS</w:t>
            </w:r>
          </w:p>
        </w:tc>
      </w:tr>
      <w:tr w:rsidR="008B332C" w:rsidRPr="003730F6" w14:paraId="3FB681C8" w14:textId="77777777" w:rsidTr="00A3199E">
        <w:trPr>
          <w:trHeight w:val="255"/>
          <w:jc w:val="center"/>
        </w:trPr>
        <w:tc>
          <w:tcPr>
            <w:tcW w:w="988" w:type="dxa"/>
            <w:shd w:val="clear" w:color="auto" w:fill="D0CECE"/>
            <w:noWrap/>
            <w:vAlign w:val="center"/>
            <w:hideMark/>
          </w:tcPr>
          <w:p w14:paraId="4DB5960A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77" w:type="dxa"/>
            <w:shd w:val="clear" w:color="auto" w:fill="D0CECE"/>
            <w:noWrap/>
            <w:vAlign w:val="center"/>
            <w:hideMark/>
          </w:tcPr>
          <w:p w14:paraId="4A49D54C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D88B262" w14:textId="0140485D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392.500,00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5030110C" w14:textId="5A3073A9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5F0AE315" w14:textId="14E03C00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392.700,00</w:t>
            </w:r>
          </w:p>
        </w:tc>
      </w:tr>
      <w:tr w:rsidR="008B332C" w:rsidRPr="003730F6" w14:paraId="0A44115E" w14:textId="77777777" w:rsidTr="00A3199E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79DB7BC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589E9E95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41D45763" w14:textId="54A39E17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48.100,00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A2938F9" w14:textId="7FC6B5C8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B5ECA4" w14:textId="1EC86C07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48.100,00</w:t>
            </w:r>
          </w:p>
        </w:tc>
      </w:tr>
      <w:tr w:rsidR="008B332C" w:rsidRPr="003730F6" w14:paraId="6FFA7C01" w14:textId="77777777" w:rsidTr="00A3199E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05B090E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6F7749FB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Prihodi od prodaje proizvoda i robe te pruženih usluga i prihodi od donacija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4E5E119A" w14:textId="18C47ECE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18.400,00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9D61EAF" w14:textId="31517991" w:rsidR="008B332C" w:rsidRPr="003730F6" w:rsidRDefault="002075EF" w:rsidP="00A319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63DBF7" w14:textId="239D5184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18.400,00</w:t>
            </w:r>
          </w:p>
        </w:tc>
      </w:tr>
      <w:tr w:rsidR="008B332C" w:rsidRPr="003730F6" w14:paraId="305E4CCD" w14:textId="77777777" w:rsidTr="00A3199E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7741424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3B35AAEE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Prihodi iz nadležnog proračuna i od HZZO-a temeljem ugovorenih obveza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14EB3E10" w14:textId="3ACAD299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326.000,00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1FB897DF" w14:textId="5E658A00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A7185D" w14:textId="63255BB4" w:rsidR="008B332C" w:rsidRPr="003730F6" w:rsidRDefault="002075EF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326.200,00</w:t>
            </w:r>
          </w:p>
        </w:tc>
      </w:tr>
    </w:tbl>
    <w:p w14:paraId="2CB523F9" w14:textId="77777777" w:rsidR="008B332C" w:rsidRPr="003730F6" w:rsidRDefault="008B332C" w:rsidP="008B332C">
      <w:pPr>
        <w:ind w:firstLine="708"/>
        <w:jc w:val="center"/>
        <w:rPr>
          <w:rFonts w:ascii="Calibri" w:hAnsi="Calibri" w:cs="Calibri"/>
          <w:sz w:val="22"/>
          <w:szCs w:val="22"/>
        </w:rPr>
      </w:pPr>
    </w:p>
    <w:p w14:paraId="3C31D695" w14:textId="291BF87A" w:rsidR="008B332C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U strukturi prihoda prema ekonomskoj klasifikaciji</w:t>
      </w:r>
      <w:r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 xml:space="preserve">došlo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730F6">
        <w:rPr>
          <w:rFonts w:ascii="Calibri" w:hAnsi="Calibri" w:cs="Calibri"/>
          <w:sz w:val="22"/>
          <w:szCs w:val="22"/>
        </w:rPr>
        <w:t xml:space="preserve">do promjene u odnosu na </w:t>
      </w:r>
      <w:r>
        <w:rPr>
          <w:rFonts w:ascii="Calibri" w:hAnsi="Calibri" w:cs="Calibri"/>
          <w:sz w:val="22"/>
          <w:szCs w:val="22"/>
        </w:rPr>
        <w:t>financijski plan</w:t>
      </w:r>
      <w:r w:rsidRPr="003730F6">
        <w:rPr>
          <w:rFonts w:ascii="Calibri" w:hAnsi="Calibri" w:cs="Calibri"/>
          <w:sz w:val="22"/>
          <w:szCs w:val="22"/>
        </w:rPr>
        <w:t xml:space="preserve"> Agencije</w:t>
      </w:r>
      <w:r>
        <w:rPr>
          <w:rFonts w:ascii="Calibri" w:hAnsi="Calibri" w:cs="Calibri"/>
          <w:sz w:val="22"/>
          <w:szCs w:val="22"/>
        </w:rPr>
        <w:t xml:space="preserve"> i to u iznosu od </w:t>
      </w:r>
      <w:r w:rsidR="005030F8">
        <w:rPr>
          <w:rFonts w:ascii="Calibri" w:hAnsi="Calibri" w:cs="Calibri"/>
          <w:sz w:val="22"/>
          <w:szCs w:val="22"/>
        </w:rPr>
        <w:t>200,00</w:t>
      </w:r>
      <w:r>
        <w:rPr>
          <w:rFonts w:ascii="Calibri" w:hAnsi="Calibri" w:cs="Calibri"/>
          <w:sz w:val="22"/>
          <w:szCs w:val="22"/>
        </w:rPr>
        <w:t xml:space="preserve"> eura</w:t>
      </w:r>
      <w:r w:rsidRPr="003730F6">
        <w:rPr>
          <w:rFonts w:ascii="Calibri" w:hAnsi="Calibri" w:cs="Calibri"/>
          <w:sz w:val="22"/>
          <w:szCs w:val="22"/>
        </w:rPr>
        <w:t>.</w:t>
      </w:r>
    </w:p>
    <w:p w14:paraId="5F01E4C6" w14:textId="0C895216" w:rsidR="008B332C" w:rsidRPr="003730F6" w:rsidRDefault="008B332C" w:rsidP="008B332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U strukturi prihoda poslovanja najveći udio čine prihodi iz nadležnog proračuna i od HZZO-a tj. Osnivača Agencije</w:t>
      </w:r>
      <w:r w:rsidR="00DA179F"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 xml:space="preserve">temeljem ugovornih obveza u iznosu od </w:t>
      </w:r>
      <w:r w:rsidR="005030F8">
        <w:rPr>
          <w:rFonts w:ascii="Calibri" w:hAnsi="Calibri" w:cs="Calibri"/>
          <w:sz w:val="22"/>
          <w:szCs w:val="22"/>
        </w:rPr>
        <w:t>326.200,00</w:t>
      </w:r>
      <w:r w:rsidRPr="003730F6">
        <w:rPr>
          <w:rFonts w:ascii="Calibri" w:hAnsi="Calibri" w:cs="Calibri"/>
          <w:sz w:val="22"/>
          <w:szCs w:val="22"/>
        </w:rPr>
        <w:t xml:space="preserve"> eura, zatim </w:t>
      </w:r>
      <w:r w:rsidR="005030F8" w:rsidRPr="003730F6">
        <w:rPr>
          <w:rFonts w:ascii="Calibri" w:hAnsi="Calibri" w:cs="Calibri"/>
          <w:sz w:val="22"/>
          <w:szCs w:val="22"/>
        </w:rPr>
        <w:t xml:space="preserve">prihodi od inozemstva i od subjekata unutar općeg proračuna u iznosu </w:t>
      </w:r>
      <w:r w:rsidRPr="003730F6">
        <w:rPr>
          <w:rFonts w:ascii="Calibri" w:hAnsi="Calibri" w:cs="Calibri"/>
          <w:sz w:val="22"/>
          <w:szCs w:val="22"/>
        </w:rPr>
        <w:t xml:space="preserve">od </w:t>
      </w:r>
      <w:r w:rsidR="005030F8">
        <w:rPr>
          <w:rFonts w:ascii="Calibri" w:hAnsi="Calibri" w:cs="Calibri"/>
          <w:sz w:val="22"/>
          <w:szCs w:val="22"/>
        </w:rPr>
        <w:t>48.100,00</w:t>
      </w:r>
      <w:r w:rsidRPr="003730F6">
        <w:rPr>
          <w:rFonts w:ascii="Calibri" w:hAnsi="Calibri" w:cs="Calibri"/>
          <w:sz w:val="22"/>
          <w:szCs w:val="22"/>
        </w:rPr>
        <w:t xml:space="preserve"> eura te naposljetku prihodi</w:t>
      </w:r>
      <w:r w:rsidR="005030F8">
        <w:rPr>
          <w:rFonts w:ascii="Calibri" w:hAnsi="Calibri" w:cs="Calibri"/>
          <w:sz w:val="22"/>
          <w:szCs w:val="22"/>
        </w:rPr>
        <w:t xml:space="preserve"> od prodaje proizvoda i robe te pruženih usluga i prihodi od donacija u iznosu</w:t>
      </w:r>
      <w:r w:rsidRPr="003730F6">
        <w:rPr>
          <w:rFonts w:ascii="Calibri" w:hAnsi="Calibri" w:cs="Calibri"/>
          <w:sz w:val="22"/>
          <w:szCs w:val="22"/>
        </w:rPr>
        <w:t xml:space="preserve"> od </w:t>
      </w:r>
      <w:r w:rsidR="005030F8">
        <w:rPr>
          <w:rFonts w:ascii="Calibri" w:hAnsi="Calibri" w:cs="Calibri"/>
          <w:sz w:val="22"/>
          <w:szCs w:val="22"/>
        </w:rPr>
        <w:t>18.400,00</w:t>
      </w:r>
      <w:r w:rsidRPr="003730F6">
        <w:rPr>
          <w:rFonts w:ascii="Calibri" w:hAnsi="Calibri" w:cs="Calibri"/>
          <w:sz w:val="22"/>
          <w:szCs w:val="22"/>
        </w:rPr>
        <w:t xml:space="preserve"> eura.</w:t>
      </w:r>
    </w:p>
    <w:p w14:paraId="652D3516" w14:textId="77777777" w:rsidR="008B332C" w:rsidRPr="003730F6" w:rsidRDefault="008B332C" w:rsidP="008B332C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125A83FB" w14:textId="4D6BE2C4" w:rsidR="008B332C" w:rsidRPr="003730F6" w:rsidRDefault="008B332C" w:rsidP="008B332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3.</w:t>
      </w:r>
      <w:r w:rsidR="00410008"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>RASHODI I IZDACI PO EKONOMSKOJ KLASIFIKACIJI</w:t>
      </w:r>
    </w:p>
    <w:p w14:paraId="3585F8BE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FA47294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3.1 RASHODI POSLOVANJA</w:t>
      </w:r>
    </w:p>
    <w:p w14:paraId="12CC84A4" w14:textId="77777777" w:rsidR="008B332C" w:rsidRPr="003730F6" w:rsidRDefault="008B332C" w:rsidP="008B332C">
      <w:pPr>
        <w:ind w:firstLine="708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Plan i promjena poslovanja po skupinama 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77"/>
        <w:gridCol w:w="1511"/>
        <w:gridCol w:w="1399"/>
        <w:gridCol w:w="1559"/>
      </w:tblGrid>
      <w:tr w:rsidR="00857797" w:rsidRPr="003730F6" w14:paraId="0E9BFA86" w14:textId="77777777" w:rsidTr="00471722">
        <w:trPr>
          <w:trHeight w:val="255"/>
        </w:trPr>
        <w:tc>
          <w:tcPr>
            <w:tcW w:w="988" w:type="dxa"/>
            <w:shd w:val="clear" w:color="auto" w:fill="D0CECE"/>
            <w:noWrap/>
            <w:vAlign w:val="center"/>
          </w:tcPr>
          <w:p w14:paraId="4B093835" w14:textId="77777777" w:rsidR="00857797" w:rsidRPr="003730F6" w:rsidRDefault="00857797" w:rsidP="008577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KONTO</w:t>
            </w: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3BBE1EAC" w14:textId="77777777" w:rsidR="00857797" w:rsidRPr="003730F6" w:rsidRDefault="00857797" w:rsidP="008577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VRSTA RASHODA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7AB8906" w14:textId="72A2CDA6" w:rsidR="00857797" w:rsidRPr="000517A5" w:rsidRDefault="00857797" w:rsidP="008577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FINANCIJSKI PLAN </w:t>
            </w: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2025.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5AB46B2B" w14:textId="3BDEB287" w:rsidR="00857797" w:rsidRPr="000517A5" w:rsidRDefault="00857797" w:rsidP="008577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56802F1B" w14:textId="17F8DB14" w:rsidR="00857797" w:rsidRPr="000517A5" w:rsidRDefault="00857797" w:rsidP="008577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I.REBALANS</w:t>
            </w:r>
          </w:p>
        </w:tc>
      </w:tr>
      <w:tr w:rsidR="008B332C" w:rsidRPr="003730F6" w14:paraId="3CA05E36" w14:textId="77777777" w:rsidTr="00471722">
        <w:trPr>
          <w:trHeight w:val="255"/>
        </w:trPr>
        <w:tc>
          <w:tcPr>
            <w:tcW w:w="988" w:type="dxa"/>
            <w:shd w:val="clear" w:color="auto" w:fill="D0CECE"/>
            <w:noWrap/>
            <w:vAlign w:val="center"/>
          </w:tcPr>
          <w:p w14:paraId="10E6A6BF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7B97AC79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UKUPNI RASHODI I IZDACI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4C09BEA" w14:textId="4C2DF85C" w:rsidR="008B332C" w:rsidRPr="003730F6" w:rsidRDefault="00FE3DAA" w:rsidP="00A319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398.500,00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6C2A2085" w14:textId="52A7149F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272E7738" w14:textId="1B7C459B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398.917,00</w:t>
            </w:r>
          </w:p>
        </w:tc>
      </w:tr>
      <w:tr w:rsidR="008B332C" w:rsidRPr="003730F6" w14:paraId="517E266F" w14:textId="77777777" w:rsidTr="00A3199E">
        <w:trPr>
          <w:trHeight w:val="255"/>
        </w:trPr>
        <w:tc>
          <w:tcPr>
            <w:tcW w:w="988" w:type="dxa"/>
            <w:shd w:val="clear" w:color="auto" w:fill="D0CECE"/>
            <w:noWrap/>
            <w:vAlign w:val="center"/>
            <w:hideMark/>
          </w:tcPr>
          <w:p w14:paraId="6F4B004D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77" w:type="dxa"/>
            <w:shd w:val="clear" w:color="auto" w:fill="D0CECE"/>
            <w:noWrap/>
            <w:vAlign w:val="center"/>
            <w:hideMark/>
          </w:tcPr>
          <w:p w14:paraId="2B577D24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56688899" w14:textId="2636A125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398.100,00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034D2A1B" w14:textId="2419673B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4254FD17" w14:textId="6E20CBB2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398.517,00</w:t>
            </w:r>
          </w:p>
        </w:tc>
      </w:tr>
      <w:tr w:rsidR="008B332C" w:rsidRPr="003730F6" w14:paraId="64061F8E" w14:textId="77777777" w:rsidTr="00A3199E">
        <w:trPr>
          <w:trHeight w:val="25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F956150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50C336F8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Rashodi za zaposlene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39C62CF2" w14:textId="14C976B8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360.240,00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2B7200D" w14:textId="1958C711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217,00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FCEC68" w14:textId="16DF878B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360.457,00</w:t>
            </w:r>
          </w:p>
        </w:tc>
      </w:tr>
      <w:tr w:rsidR="008B332C" w:rsidRPr="003730F6" w14:paraId="697261A5" w14:textId="77777777" w:rsidTr="00A3199E">
        <w:trPr>
          <w:trHeight w:val="25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9F57941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39399751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Materijalni rashodi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716EDD0F" w14:textId="1D6D5BB1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37.850,00</w:t>
            </w:r>
          </w:p>
        </w:tc>
        <w:tc>
          <w:tcPr>
            <w:tcW w:w="1399" w:type="dxa"/>
            <w:shd w:val="clear" w:color="auto" w:fill="auto"/>
            <w:noWrap/>
          </w:tcPr>
          <w:p w14:paraId="45237219" w14:textId="374F932C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DD076A" w14:textId="3ADEA40D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38.050,00</w:t>
            </w:r>
          </w:p>
        </w:tc>
      </w:tr>
      <w:tr w:rsidR="008B332C" w:rsidRPr="003730F6" w14:paraId="21714BF7" w14:textId="77777777" w:rsidTr="00A3199E">
        <w:trPr>
          <w:trHeight w:val="25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418E5C2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4177" w:type="dxa"/>
            <w:shd w:val="clear" w:color="auto" w:fill="auto"/>
            <w:noWrap/>
            <w:vAlign w:val="center"/>
            <w:hideMark/>
          </w:tcPr>
          <w:p w14:paraId="2A33361E" w14:textId="77777777" w:rsidR="008B332C" w:rsidRPr="003730F6" w:rsidRDefault="008B332C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Financijski rashodi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09AFF34B" w14:textId="6F464BC4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10,00</w:t>
            </w:r>
          </w:p>
        </w:tc>
        <w:tc>
          <w:tcPr>
            <w:tcW w:w="1399" w:type="dxa"/>
            <w:shd w:val="clear" w:color="auto" w:fill="auto"/>
            <w:noWrap/>
          </w:tcPr>
          <w:p w14:paraId="3E154848" w14:textId="35F2EEAA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82C94C" w14:textId="2FA1E356" w:rsidR="008B332C" w:rsidRPr="003730F6" w:rsidRDefault="00FE3DAA" w:rsidP="004717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80BD1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FE3DAA" w:rsidRPr="003730F6" w14:paraId="2EEA4918" w14:textId="77777777" w:rsidTr="00A3199E">
        <w:trPr>
          <w:trHeight w:val="255"/>
        </w:trPr>
        <w:tc>
          <w:tcPr>
            <w:tcW w:w="988" w:type="dxa"/>
            <w:shd w:val="clear" w:color="auto" w:fill="BFBFBF" w:themeFill="background1" w:themeFillShade="BF"/>
            <w:noWrap/>
            <w:vAlign w:val="center"/>
          </w:tcPr>
          <w:p w14:paraId="127C1707" w14:textId="77777777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77" w:type="dxa"/>
            <w:shd w:val="clear" w:color="auto" w:fill="BFBFBF" w:themeFill="background1" w:themeFillShade="BF"/>
            <w:noWrap/>
            <w:vAlign w:val="center"/>
          </w:tcPr>
          <w:p w14:paraId="3D8C2848" w14:textId="77777777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511" w:type="dxa"/>
            <w:shd w:val="clear" w:color="auto" w:fill="BFBFBF" w:themeFill="background1" w:themeFillShade="BF"/>
            <w:noWrap/>
            <w:vAlign w:val="center"/>
          </w:tcPr>
          <w:p w14:paraId="44F22999" w14:textId="444255A2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400,00</w:t>
            </w:r>
          </w:p>
        </w:tc>
        <w:tc>
          <w:tcPr>
            <w:tcW w:w="1399" w:type="dxa"/>
            <w:shd w:val="clear" w:color="auto" w:fill="BFBFBF" w:themeFill="background1" w:themeFillShade="BF"/>
            <w:noWrap/>
          </w:tcPr>
          <w:p w14:paraId="1932AB73" w14:textId="62144401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</w:tcPr>
          <w:p w14:paraId="47E81E96" w14:textId="08739474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400,00</w:t>
            </w:r>
          </w:p>
        </w:tc>
      </w:tr>
      <w:tr w:rsidR="00FE3DAA" w:rsidRPr="003730F6" w14:paraId="736787DD" w14:textId="77777777" w:rsidTr="00A3199E">
        <w:trPr>
          <w:trHeight w:val="255"/>
        </w:trPr>
        <w:tc>
          <w:tcPr>
            <w:tcW w:w="988" w:type="dxa"/>
            <w:shd w:val="clear" w:color="auto" w:fill="auto"/>
            <w:noWrap/>
            <w:vAlign w:val="center"/>
          </w:tcPr>
          <w:p w14:paraId="6D02E712" w14:textId="77777777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4177" w:type="dxa"/>
            <w:shd w:val="clear" w:color="auto" w:fill="auto"/>
            <w:noWrap/>
            <w:vAlign w:val="center"/>
          </w:tcPr>
          <w:p w14:paraId="23679713" w14:textId="77777777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30F6">
              <w:rPr>
                <w:rFonts w:ascii="Calibri" w:hAnsi="Calibri" w:cs="Calibri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31F19C87" w14:textId="26BA5851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400,00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7D14961" w14:textId="242A178E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F8F1F9" w14:textId="5BD900D1" w:rsidR="00FE3DAA" w:rsidRPr="003730F6" w:rsidRDefault="00FE3DAA" w:rsidP="00FE3D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400,00</w:t>
            </w:r>
          </w:p>
        </w:tc>
      </w:tr>
    </w:tbl>
    <w:p w14:paraId="65D42224" w14:textId="77777777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</w:p>
    <w:p w14:paraId="162EBED5" w14:textId="77777777" w:rsidR="008B332C" w:rsidRPr="003730F6" w:rsidRDefault="008B332C" w:rsidP="008B332C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1A5BBF9B" w14:textId="5BC69249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I. Izmjenama i dopunama </w:t>
      </w:r>
      <w:r>
        <w:rPr>
          <w:rFonts w:ascii="Calibri" w:hAnsi="Calibri" w:cs="Calibri"/>
          <w:sz w:val="22"/>
          <w:szCs w:val="22"/>
        </w:rPr>
        <w:t>financijskog plana</w:t>
      </w:r>
      <w:r w:rsidRPr="003730F6">
        <w:rPr>
          <w:rFonts w:ascii="Calibri" w:hAnsi="Calibri" w:cs="Calibri"/>
          <w:sz w:val="22"/>
          <w:szCs w:val="22"/>
        </w:rPr>
        <w:t xml:space="preserve"> Agencije za 202</w:t>
      </w:r>
      <w:r w:rsidR="00680BD1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 xml:space="preserve">. godinu planirani rashodi poslovanja iznose </w:t>
      </w:r>
      <w:r>
        <w:rPr>
          <w:rFonts w:ascii="Calibri" w:hAnsi="Calibri" w:cs="Calibri"/>
          <w:sz w:val="22"/>
          <w:szCs w:val="22"/>
        </w:rPr>
        <w:t>3</w:t>
      </w:r>
      <w:r w:rsidR="00680BD1">
        <w:rPr>
          <w:rFonts w:ascii="Calibri" w:hAnsi="Calibri" w:cs="Calibri"/>
          <w:sz w:val="22"/>
          <w:szCs w:val="22"/>
        </w:rPr>
        <w:t>98.</w:t>
      </w:r>
      <w:r w:rsidR="00AC47EA">
        <w:rPr>
          <w:rFonts w:ascii="Calibri" w:hAnsi="Calibri" w:cs="Calibri"/>
          <w:sz w:val="22"/>
          <w:szCs w:val="22"/>
        </w:rPr>
        <w:t>9</w:t>
      </w:r>
      <w:r w:rsidR="00680BD1">
        <w:rPr>
          <w:rFonts w:ascii="Calibri" w:hAnsi="Calibri" w:cs="Calibri"/>
          <w:sz w:val="22"/>
          <w:szCs w:val="22"/>
        </w:rPr>
        <w:t>17,00</w:t>
      </w:r>
      <w:r w:rsidRPr="003730F6">
        <w:rPr>
          <w:rFonts w:ascii="Calibri" w:hAnsi="Calibri" w:cs="Calibri"/>
          <w:sz w:val="22"/>
          <w:szCs w:val="22"/>
        </w:rPr>
        <w:t xml:space="preserve"> €.</w:t>
      </w:r>
    </w:p>
    <w:p w14:paraId="4CD26910" w14:textId="0769E69D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U odnosu na </w:t>
      </w:r>
      <w:r>
        <w:rPr>
          <w:rFonts w:ascii="Calibri" w:hAnsi="Calibri" w:cs="Calibri"/>
          <w:sz w:val="22"/>
          <w:szCs w:val="22"/>
        </w:rPr>
        <w:t>financijski plan</w:t>
      </w:r>
      <w:r w:rsidRPr="003730F6">
        <w:rPr>
          <w:rFonts w:ascii="Calibri" w:hAnsi="Calibri" w:cs="Calibri"/>
          <w:sz w:val="22"/>
          <w:szCs w:val="22"/>
        </w:rPr>
        <w:t xml:space="preserve">, uvećani su rashodi za zaposlene u iznosu od </w:t>
      </w:r>
      <w:r w:rsidR="00680BD1">
        <w:rPr>
          <w:rFonts w:ascii="Calibri" w:hAnsi="Calibri" w:cs="Calibri"/>
          <w:sz w:val="22"/>
          <w:szCs w:val="22"/>
        </w:rPr>
        <w:t>217,00</w:t>
      </w:r>
      <w:r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>eura</w:t>
      </w:r>
      <w:r w:rsidR="00680BD1">
        <w:rPr>
          <w:rFonts w:ascii="Calibri" w:hAnsi="Calibri" w:cs="Calibri"/>
          <w:sz w:val="22"/>
          <w:szCs w:val="22"/>
        </w:rPr>
        <w:t xml:space="preserve"> </w:t>
      </w:r>
      <w:r w:rsidRPr="003730F6">
        <w:rPr>
          <w:rFonts w:ascii="Calibri" w:hAnsi="Calibri" w:cs="Calibri"/>
          <w:sz w:val="22"/>
          <w:szCs w:val="22"/>
        </w:rPr>
        <w:t xml:space="preserve">te </w:t>
      </w:r>
      <w:r w:rsidR="00680BD1">
        <w:rPr>
          <w:rFonts w:ascii="Calibri" w:hAnsi="Calibri" w:cs="Calibri"/>
          <w:sz w:val="22"/>
          <w:szCs w:val="22"/>
        </w:rPr>
        <w:t>rebalansom iznose 260.457,00 eura.</w:t>
      </w:r>
    </w:p>
    <w:p w14:paraId="3F1556CA" w14:textId="42809999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Materijalni rashodi su </w:t>
      </w:r>
      <w:r w:rsidR="00680BD1">
        <w:rPr>
          <w:rFonts w:ascii="Calibri" w:hAnsi="Calibri" w:cs="Calibri"/>
          <w:sz w:val="22"/>
          <w:szCs w:val="22"/>
        </w:rPr>
        <w:t>uvećani</w:t>
      </w:r>
      <w:r w:rsidRPr="003730F6">
        <w:rPr>
          <w:rFonts w:ascii="Calibri" w:hAnsi="Calibri" w:cs="Calibri"/>
          <w:sz w:val="22"/>
          <w:szCs w:val="22"/>
        </w:rPr>
        <w:t xml:space="preserve"> za </w:t>
      </w:r>
      <w:r w:rsidR="00680BD1">
        <w:rPr>
          <w:rFonts w:ascii="Calibri" w:hAnsi="Calibri" w:cs="Calibri"/>
          <w:sz w:val="22"/>
          <w:szCs w:val="22"/>
        </w:rPr>
        <w:t>200,</w:t>
      </w:r>
      <w:r>
        <w:rPr>
          <w:rFonts w:ascii="Calibri" w:hAnsi="Calibri" w:cs="Calibri"/>
          <w:sz w:val="22"/>
          <w:szCs w:val="22"/>
        </w:rPr>
        <w:t>00</w:t>
      </w:r>
      <w:r w:rsidRPr="003730F6">
        <w:rPr>
          <w:rFonts w:ascii="Calibri" w:hAnsi="Calibri" w:cs="Calibri"/>
          <w:sz w:val="22"/>
          <w:szCs w:val="22"/>
        </w:rPr>
        <w:t xml:space="preserve"> eura </w:t>
      </w:r>
      <w:r w:rsidR="00680BD1">
        <w:rPr>
          <w:rFonts w:ascii="Calibri" w:hAnsi="Calibri" w:cs="Calibri"/>
          <w:sz w:val="22"/>
          <w:szCs w:val="22"/>
        </w:rPr>
        <w:t xml:space="preserve">te sada iznose 38.050,00. </w:t>
      </w:r>
    </w:p>
    <w:p w14:paraId="30AF6444" w14:textId="36E07E56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Financijski rashodi </w:t>
      </w:r>
      <w:r w:rsidR="00680BD1">
        <w:rPr>
          <w:rFonts w:ascii="Calibri" w:hAnsi="Calibri" w:cs="Calibri"/>
          <w:sz w:val="22"/>
          <w:szCs w:val="22"/>
        </w:rPr>
        <w:t>se nisu mijenjali.</w:t>
      </w:r>
    </w:p>
    <w:p w14:paraId="53A65939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</w:p>
    <w:p w14:paraId="2FB9B55A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3.2. RASHODI ZA NABAVU NEFINANCIJSKE IMOVINE</w:t>
      </w:r>
    </w:p>
    <w:p w14:paraId="026F08C7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</w:p>
    <w:p w14:paraId="78B06DEA" w14:textId="3010B442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Rashodi za nabavu nefinancijske imovine I. rebalansom iznose </w:t>
      </w:r>
      <w:r w:rsidR="00680BD1">
        <w:rPr>
          <w:rFonts w:ascii="Calibri" w:hAnsi="Calibri" w:cs="Calibri"/>
          <w:sz w:val="22"/>
          <w:szCs w:val="22"/>
        </w:rPr>
        <w:t>400,00</w:t>
      </w:r>
      <w:r w:rsidRPr="003730F6">
        <w:rPr>
          <w:rFonts w:ascii="Calibri" w:hAnsi="Calibri" w:cs="Calibri"/>
          <w:sz w:val="22"/>
          <w:szCs w:val="22"/>
        </w:rPr>
        <w:t xml:space="preserve"> eura.</w:t>
      </w:r>
    </w:p>
    <w:p w14:paraId="2375AFFC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</w:p>
    <w:p w14:paraId="74ED1868" w14:textId="77777777" w:rsidR="008B332C" w:rsidRDefault="008B332C" w:rsidP="008B332C">
      <w:pPr>
        <w:pStyle w:val="Odlomakpopisa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RAČUN PRIHODA I RASHODA PREMA IZVORIMA FINANCIRANJA </w:t>
      </w:r>
    </w:p>
    <w:p w14:paraId="46CE4105" w14:textId="77777777" w:rsidR="008B332C" w:rsidRDefault="008B332C" w:rsidP="008B332C">
      <w:pPr>
        <w:jc w:val="both"/>
        <w:rPr>
          <w:rFonts w:ascii="Calibri" w:hAnsi="Calibri" w:cs="Calibri"/>
          <w:sz w:val="22"/>
          <w:szCs w:val="22"/>
        </w:rPr>
      </w:pPr>
    </w:p>
    <w:p w14:paraId="52D70464" w14:textId="511B6583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U odnosu na </w:t>
      </w:r>
      <w:r>
        <w:rPr>
          <w:rFonts w:ascii="Calibri" w:hAnsi="Calibri" w:cs="Calibri"/>
          <w:sz w:val="22"/>
          <w:szCs w:val="22"/>
        </w:rPr>
        <w:t>financijski plan</w:t>
      </w:r>
      <w:r w:rsidRPr="003730F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došlo je do promjene planiranih prihoda prema izvorima financiranja te su prihodi uvećani za  </w:t>
      </w:r>
      <w:r w:rsidR="00927758">
        <w:rPr>
          <w:rFonts w:ascii="Calibri" w:hAnsi="Calibri" w:cs="Calibri"/>
          <w:sz w:val="22"/>
          <w:szCs w:val="22"/>
        </w:rPr>
        <w:t>200,00</w:t>
      </w:r>
      <w:r>
        <w:rPr>
          <w:rFonts w:ascii="Calibri" w:hAnsi="Calibri" w:cs="Calibri"/>
          <w:sz w:val="22"/>
          <w:szCs w:val="22"/>
        </w:rPr>
        <w:t xml:space="preserve"> eura međutim </w:t>
      </w:r>
      <w:r w:rsidRPr="003730F6">
        <w:rPr>
          <w:rFonts w:ascii="Calibri" w:hAnsi="Calibri" w:cs="Calibri"/>
          <w:sz w:val="22"/>
          <w:szCs w:val="22"/>
        </w:rPr>
        <w:t xml:space="preserve">i dalje najveći </w:t>
      </w:r>
      <w:r>
        <w:rPr>
          <w:rFonts w:ascii="Calibri" w:hAnsi="Calibri" w:cs="Calibri"/>
          <w:sz w:val="22"/>
          <w:szCs w:val="22"/>
        </w:rPr>
        <w:t xml:space="preserve">izvor financiranja su </w:t>
      </w:r>
      <w:r w:rsidRPr="003730F6">
        <w:rPr>
          <w:rFonts w:ascii="Calibri" w:hAnsi="Calibri" w:cs="Calibri"/>
          <w:sz w:val="22"/>
          <w:szCs w:val="22"/>
        </w:rPr>
        <w:t xml:space="preserve">opći prihodi i primici u iznosu od </w:t>
      </w:r>
      <w:r w:rsidR="00927758">
        <w:rPr>
          <w:rFonts w:ascii="Calibri" w:hAnsi="Calibri" w:cs="Calibri"/>
          <w:sz w:val="22"/>
          <w:szCs w:val="22"/>
        </w:rPr>
        <w:t>326.200,00</w:t>
      </w:r>
      <w:r w:rsidRPr="003730F6">
        <w:rPr>
          <w:rFonts w:ascii="Calibri" w:hAnsi="Calibri" w:cs="Calibri"/>
          <w:sz w:val="22"/>
          <w:szCs w:val="22"/>
        </w:rPr>
        <w:t xml:space="preserve"> eura, zatim </w:t>
      </w:r>
      <w:r w:rsidR="00010102" w:rsidRPr="003730F6">
        <w:rPr>
          <w:rFonts w:ascii="Calibri" w:hAnsi="Calibri" w:cs="Calibri"/>
          <w:sz w:val="22"/>
          <w:szCs w:val="22"/>
        </w:rPr>
        <w:t xml:space="preserve">pomoći u iznosu od </w:t>
      </w:r>
      <w:r w:rsidR="00927758">
        <w:rPr>
          <w:rFonts w:ascii="Calibri" w:hAnsi="Calibri" w:cs="Calibri"/>
          <w:sz w:val="22"/>
          <w:szCs w:val="22"/>
        </w:rPr>
        <w:t>48.100,00</w:t>
      </w:r>
      <w:r w:rsidR="00010102" w:rsidRPr="003730F6">
        <w:rPr>
          <w:rFonts w:ascii="Calibri" w:hAnsi="Calibri" w:cs="Calibri"/>
          <w:sz w:val="22"/>
          <w:szCs w:val="22"/>
        </w:rPr>
        <w:t xml:space="preserve"> eura</w:t>
      </w:r>
      <w:r w:rsidR="00010102">
        <w:rPr>
          <w:rFonts w:ascii="Calibri" w:hAnsi="Calibri" w:cs="Calibri"/>
          <w:sz w:val="22"/>
          <w:szCs w:val="22"/>
        </w:rPr>
        <w:t xml:space="preserve">, te </w:t>
      </w:r>
      <w:r w:rsidRPr="003730F6">
        <w:rPr>
          <w:rFonts w:ascii="Calibri" w:hAnsi="Calibri" w:cs="Calibri"/>
          <w:sz w:val="22"/>
          <w:szCs w:val="22"/>
        </w:rPr>
        <w:t xml:space="preserve">vlastiti prihodi u iznosu od </w:t>
      </w:r>
      <w:r w:rsidR="00927758">
        <w:rPr>
          <w:rFonts w:ascii="Calibri" w:hAnsi="Calibri" w:cs="Calibri"/>
          <w:sz w:val="22"/>
          <w:szCs w:val="22"/>
        </w:rPr>
        <w:t>18.400,00</w:t>
      </w:r>
      <w:r w:rsidR="00010102">
        <w:rPr>
          <w:rFonts w:ascii="Calibri" w:hAnsi="Calibri" w:cs="Calibri"/>
          <w:sz w:val="22"/>
          <w:szCs w:val="22"/>
        </w:rPr>
        <w:t>.</w:t>
      </w:r>
    </w:p>
    <w:p w14:paraId="1DD04261" w14:textId="41EC38A1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Prema izvorima financiranja najveći dio rashoda je planiran iz općih prihoda i primitaka i to u iznosu od </w:t>
      </w:r>
      <w:r w:rsidR="00927758">
        <w:rPr>
          <w:rFonts w:ascii="Calibri" w:hAnsi="Calibri" w:cs="Calibri"/>
          <w:sz w:val="22"/>
          <w:szCs w:val="22"/>
        </w:rPr>
        <w:t>326.200,00</w:t>
      </w:r>
      <w:r w:rsidRPr="003730F6">
        <w:rPr>
          <w:rFonts w:ascii="Calibri" w:hAnsi="Calibri" w:cs="Calibri"/>
          <w:sz w:val="22"/>
          <w:szCs w:val="22"/>
        </w:rPr>
        <w:t xml:space="preserve"> eura, zatim slijede </w:t>
      </w:r>
      <w:r w:rsidR="00927758">
        <w:rPr>
          <w:rFonts w:ascii="Calibri" w:hAnsi="Calibri" w:cs="Calibri"/>
          <w:sz w:val="22"/>
          <w:szCs w:val="22"/>
        </w:rPr>
        <w:t xml:space="preserve">pomoći u iznosu 48.100,00 eura te potom </w:t>
      </w:r>
      <w:r w:rsidRPr="003730F6">
        <w:rPr>
          <w:rFonts w:ascii="Calibri" w:hAnsi="Calibri" w:cs="Calibri"/>
          <w:sz w:val="22"/>
          <w:szCs w:val="22"/>
        </w:rPr>
        <w:t xml:space="preserve">vlastiti prihodi u iznosu od </w:t>
      </w:r>
      <w:r w:rsidR="00927758">
        <w:rPr>
          <w:rFonts w:ascii="Calibri" w:hAnsi="Calibri" w:cs="Calibri"/>
          <w:sz w:val="22"/>
          <w:szCs w:val="22"/>
        </w:rPr>
        <w:t>24.617,00 eura</w:t>
      </w:r>
      <w:r w:rsidRPr="003730F6">
        <w:rPr>
          <w:rFonts w:ascii="Calibri" w:hAnsi="Calibri" w:cs="Calibri"/>
          <w:sz w:val="22"/>
          <w:szCs w:val="22"/>
        </w:rPr>
        <w:t xml:space="preserve">. </w:t>
      </w:r>
    </w:p>
    <w:p w14:paraId="598F32BE" w14:textId="77777777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</w:p>
    <w:p w14:paraId="659A8301" w14:textId="77777777" w:rsidR="008B332C" w:rsidRPr="003730F6" w:rsidRDefault="008B332C" w:rsidP="008B332C">
      <w:pPr>
        <w:pStyle w:val="Odlomakpopisa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 RASHODI PREMA FUNKCIJSKO</w:t>
      </w:r>
      <w:r>
        <w:rPr>
          <w:rFonts w:ascii="Calibri" w:hAnsi="Calibri" w:cs="Calibri"/>
          <w:sz w:val="22"/>
          <w:szCs w:val="22"/>
        </w:rPr>
        <w:t>J</w:t>
      </w:r>
      <w:r w:rsidRPr="003730F6">
        <w:rPr>
          <w:rFonts w:ascii="Calibri" w:hAnsi="Calibri" w:cs="Calibri"/>
          <w:sz w:val="22"/>
          <w:szCs w:val="22"/>
        </w:rPr>
        <w:t xml:space="preserve"> KLASIFIKACIJI</w:t>
      </w:r>
    </w:p>
    <w:p w14:paraId="73A0B159" w14:textId="77777777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6C0AA6D" w14:textId="2BCC0A5E" w:rsidR="008B332C" w:rsidRPr="003730F6" w:rsidRDefault="008B332C" w:rsidP="008B332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>Prema funkcijskoj klasifikaciji, I. rebalansom rashodi za 202</w:t>
      </w:r>
      <w:r w:rsidR="00AC47EA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>. godinu su planirani kako slijedi od najvećeg prema najmanjem: Usluga unaprjeđenja stanovanja i zajednice te  rekreacija, kultura i religija.</w:t>
      </w:r>
    </w:p>
    <w:p w14:paraId="5857049E" w14:textId="77777777" w:rsidR="008B332C" w:rsidRPr="003730F6" w:rsidRDefault="008B332C" w:rsidP="008B332C">
      <w:pPr>
        <w:rPr>
          <w:rFonts w:ascii="Calibri" w:hAnsi="Calibri" w:cs="Calibri"/>
          <w:sz w:val="22"/>
          <w:szCs w:val="22"/>
        </w:rPr>
      </w:pPr>
    </w:p>
    <w:p w14:paraId="1D590654" w14:textId="77777777" w:rsidR="008B332C" w:rsidRPr="003730F6" w:rsidRDefault="008B332C" w:rsidP="008B332C">
      <w:pPr>
        <w:pStyle w:val="Odlomakpopisa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 xml:space="preserve"> PRENESENI VIŠAK ILI MANJAK</w:t>
      </w:r>
    </w:p>
    <w:p w14:paraId="7B5491B0" w14:textId="77777777" w:rsidR="008B332C" w:rsidRPr="003730F6" w:rsidRDefault="008B332C" w:rsidP="008B332C">
      <w:pPr>
        <w:jc w:val="both"/>
        <w:rPr>
          <w:rFonts w:ascii="Calibri" w:hAnsi="Calibri" w:cs="Calibri"/>
          <w:sz w:val="22"/>
          <w:szCs w:val="22"/>
        </w:rPr>
      </w:pPr>
    </w:p>
    <w:p w14:paraId="76661095" w14:textId="2E6F93BF" w:rsidR="008B332C" w:rsidRDefault="008B332C" w:rsidP="008B332C">
      <w:pPr>
        <w:jc w:val="both"/>
        <w:rPr>
          <w:rFonts w:ascii="Calibri" w:hAnsi="Calibri" w:cs="Calibri"/>
          <w:sz w:val="22"/>
          <w:szCs w:val="22"/>
        </w:rPr>
      </w:pPr>
      <w:r w:rsidRPr="003730F6">
        <w:rPr>
          <w:rFonts w:ascii="Calibri" w:hAnsi="Calibri" w:cs="Calibri"/>
          <w:sz w:val="22"/>
          <w:szCs w:val="22"/>
        </w:rPr>
        <w:tab/>
        <w:t xml:space="preserve">I. izmjenama i dopunama </w:t>
      </w:r>
      <w:r>
        <w:rPr>
          <w:rFonts w:ascii="Calibri" w:hAnsi="Calibri" w:cs="Calibri"/>
          <w:sz w:val="22"/>
          <w:szCs w:val="22"/>
        </w:rPr>
        <w:t>financijskog plana</w:t>
      </w:r>
      <w:r w:rsidRPr="003730F6">
        <w:rPr>
          <w:rFonts w:ascii="Calibri" w:hAnsi="Calibri" w:cs="Calibri"/>
          <w:sz w:val="22"/>
          <w:szCs w:val="22"/>
        </w:rPr>
        <w:t xml:space="preserve"> Agencije ukupno planirani prihodi i primici u 202</w:t>
      </w:r>
      <w:r w:rsidR="00293C10">
        <w:rPr>
          <w:rFonts w:ascii="Calibri" w:hAnsi="Calibri" w:cs="Calibri"/>
          <w:sz w:val="22"/>
          <w:szCs w:val="22"/>
        </w:rPr>
        <w:t>5</w:t>
      </w:r>
      <w:r w:rsidRPr="003730F6">
        <w:rPr>
          <w:rFonts w:ascii="Calibri" w:hAnsi="Calibri" w:cs="Calibri"/>
          <w:sz w:val="22"/>
          <w:szCs w:val="22"/>
        </w:rPr>
        <w:t xml:space="preserve">. godini iznose </w:t>
      </w:r>
      <w:r w:rsidR="00293C10">
        <w:rPr>
          <w:rFonts w:ascii="Calibri" w:hAnsi="Calibri" w:cs="Calibri"/>
          <w:sz w:val="22"/>
          <w:szCs w:val="22"/>
        </w:rPr>
        <w:t>392.700,00</w:t>
      </w:r>
      <w:r w:rsidRPr="003730F6">
        <w:rPr>
          <w:rFonts w:ascii="Calibri" w:hAnsi="Calibri" w:cs="Calibri"/>
          <w:sz w:val="22"/>
          <w:szCs w:val="22"/>
        </w:rPr>
        <w:t xml:space="preserve"> eura, a rashodi i izdaci iznose </w:t>
      </w:r>
      <w:r w:rsidR="00293C10">
        <w:rPr>
          <w:rFonts w:ascii="Calibri" w:hAnsi="Calibri" w:cs="Calibri"/>
          <w:sz w:val="22"/>
          <w:szCs w:val="22"/>
        </w:rPr>
        <w:t>398.917,00</w:t>
      </w:r>
      <w:r w:rsidRPr="003730F6">
        <w:rPr>
          <w:rFonts w:ascii="Calibri" w:hAnsi="Calibri" w:cs="Calibri"/>
          <w:sz w:val="22"/>
          <w:szCs w:val="22"/>
        </w:rPr>
        <w:t xml:space="preserve"> eura. €. Uravnoteženje financijskog plana postiže se planiranim viškom iz prethodne godine u iznosu od </w:t>
      </w:r>
      <w:r w:rsidR="00293C10">
        <w:rPr>
          <w:rFonts w:ascii="Calibri" w:hAnsi="Calibri" w:cs="Calibri"/>
          <w:sz w:val="22"/>
          <w:szCs w:val="22"/>
        </w:rPr>
        <w:t>6.217,00</w:t>
      </w:r>
      <w:r w:rsidRPr="003730F6">
        <w:rPr>
          <w:rFonts w:ascii="Calibri" w:hAnsi="Calibri" w:cs="Calibri"/>
          <w:sz w:val="22"/>
          <w:szCs w:val="22"/>
        </w:rPr>
        <w:t xml:space="preserve"> </w:t>
      </w:r>
      <w:r w:rsidR="00293C10">
        <w:rPr>
          <w:rFonts w:ascii="Calibri" w:hAnsi="Calibri" w:cs="Calibri"/>
          <w:sz w:val="22"/>
          <w:szCs w:val="22"/>
        </w:rPr>
        <w:t>eura</w:t>
      </w:r>
      <w:r w:rsidRPr="003730F6">
        <w:rPr>
          <w:rFonts w:ascii="Calibri" w:hAnsi="Calibri" w:cs="Calibri"/>
          <w:sz w:val="22"/>
          <w:szCs w:val="22"/>
        </w:rPr>
        <w:t>.</w:t>
      </w:r>
    </w:p>
    <w:p w14:paraId="0A287AD7" w14:textId="77777777" w:rsidR="008B332C" w:rsidRDefault="008B332C" w:rsidP="00944B30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</w:p>
    <w:p w14:paraId="395777A8" w14:textId="6B9647B6" w:rsidR="000517A5" w:rsidRDefault="000517A5" w:rsidP="00944B30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</w:rPr>
        <w:t>POSEBNI DIO</w:t>
      </w:r>
    </w:p>
    <w:p w14:paraId="02E54D6A" w14:textId="55411880" w:rsid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b/>
          <w:bCs/>
          <w:kern w:val="0"/>
          <w:sz w:val="22"/>
          <w:szCs w:val="22"/>
        </w:rPr>
        <w:t>Proračunski korisnik 50725 – Lokalna razvojna agencija Požega LO-RA</w:t>
      </w:r>
    </w:p>
    <w:p w14:paraId="1CF1A497" w14:textId="77777777" w:rsidR="00857797" w:rsidRPr="000517A5" w:rsidRDefault="00857797" w:rsidP="000517A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</w:p>
    <w:p w14:paraId="6EBE9E71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Javna ustanova Lokalna razvojna agencija Požega osnovana je 2018. godine te se sastoji od tri (3) ustrojstvene jedinice: Ured ravnatelja, Odjel za strateško planiranje i razvojne programe i Odjel za pripremu i provedbu projekata.</w:t>
      </w:r>
    </w:p>
    <w:p w14:paraId="337E8347" w14:textId="7D44040D" w:rsid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LO-RA Požega obavlja sljedeće djelatnosti: poticanje razvoja gospodarstva, turizma, poljoprivrede i organizacija civilnog društva Grada Požege, koordiniranje izrade strategija razvoja jedinica lokalne samouprave, poticanje pripreme razvojnih projekata na području jedinice lokalne samouprave, sudjelovanje u izradi razvojnih projekata i strateških projekata regionalnog razvoja statističke regije, priprema i provedba razvojnih programa i projekata Grada Požege financiranih iz sredstava EU fondova, pružanje savjetodavne i tehničke pomoći u pripremi projekata gospodarskih subjekata s područja Grada Požege, istraživanje tržišta i ispitivanje javnog mijenja, organizacija sastanaka i poslovnih sajmova, ostale poslovne pomoćne uslužne djelatnosti i djelatnost upravljanja Poduzetničkim inkubatorom u Požegi te druge poslove definirane Statutom.</w:t>
      </w:r>
    </w:p>
    <w:p w14:paraId="59FF5FAD" w14:textId="77777777" w:rsidR="00A3199E" w:rsidRDefault="00A3199E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50CF2DDF" w14:textId="77777777" w:rsidR="00A3199E" w:rsidRDefault="00A3199E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7ECC191A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0517A5" w:rsidRPr="000517A5" w14:paraId="4CF31024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6F53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lastRenderedPageBreak/>
              <w:t>Glava 00303 JAVNA USTANOVA - LOKALNA RAZVOJNA AGENCIJA</w:t>
            </w:r>
          </w:p>
          <w:p w14:paraId="41D6A8E8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50725 LOKALNA RAZVOJNA AGENCIJA POŽEGA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9988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PRORAČUN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DAAA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6096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I.REBALANS</w:t>
            </w:r>
          </w:p>
        </w:tc>
      </w:tr>
      <w:tr w:rsidR="000517A5" w:rsidRPr="000517A5" w14:paraId="3C069EB0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1105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Korisnik K080 LOKALNA RAZVOJNA AGENCIJA POŽEGA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A9CE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398.500,00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3E7E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4EF3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398.917,00</w:t>
            </w:r>
          </w:p>
        </w:tc>
      </w:tr>
      <w:tr w:rsidR="000517A5" w:rsidRPr="000517A5" w14:paraId="67689C12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9AAE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PROGRAM 2500 REDOVNA DJELATNOST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EFC3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350.400,00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A8E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84B4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350.817,00</w:t>
            </w:r>
          </w:p>
        </w:tc>
      </w:tr>
      <w:tr w:rsidR="000517A5" w:rsidRPr="000517A5" w14:paraId="034B1F8B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3E99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PROGRAM 2501 PRIPREMA I PROVEDBA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53A5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8F2C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6799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48.100,00</w:t>
            </w:r>
          </w:p>
        </w:tc>
      </w:tr>
    </w:tbl>
    <w:p w14:paraId="34DCC429" w14:textId="77777777" w:rsidR="00857797" w:rsidRDefault="00857797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7405CB7E" w14:textId="355C66B3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NAZIV PROGRAMA: REDOVNA DJELATNOST LOKALNE RAZVOJNE AGENCIJE</w:t>
      </w:r>
    </w:p>
    <w:p w14:paraId="1D5CA33A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Redovna djelatnost Agencije odnosi se na aktivnosti kojima se osigurava nesmetano djelovanje Poduzetničkog inkubatora Požega kojim Agencija upravlja, obavljanje svih administrativnih poslova nužnih za funkcioniranje Agencije.</w:t>
      </w:r>
    </w:p>
    <w:p w14:paraId="05EEBB9F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Zakonska osnova za uvođenje programa:</w:t>
      </w:r>
    </w:p>
    <w:p w14:paraId="32A0642E" w14:textId="77777777" w:rsidR="000517A5" w:rsidRPr="000517A5" w:rsidRDefault="000517A5" w:rsidP="000517A5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 o ustanovama (Narodne novine, broj: 76/93., 29/97., 47/99., 35/08., 127/19. i 151/22.),</w:t>
      </w:r>
    </w:p>
    <w:p w14:paraId="4E301300" w14:textId="77777777" w:rsidR="000517A5" w:rsidRPr="000517A5" w:rsidRDefault="000517A5" w:rsidP="000517A5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 o regionalnom razvoju Republike Hrvatske (Narodne novine, broj: 147/14., 123/17. i 118/18.) i</w:t>
      </w:r>
    </w:p>
    <w:p w14:paraId="2555BC1F" w14:textId="77777777" w:rsidR="000517A5" w:rsidRDefault="000517A5" w:rsidP="000517A5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Odluka Gradskog vijeća Grada Požege o osnivanju Javne ustanove Lokalna razvojna agencija Požega (Službene novine Grada Požege, 19/18., 2/19. i 16/19.).</w:t>
      </w:r>
    </w:p>
    <w:p w14:paraId="0B8C3151" w14:textId="77777777" w:rsidR="00857797" w:rsidRPr="000517A5" w:rsidRDefault="00857797" w:rsidP="000517A5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696"/>
        <w:gridCol w:w="1706"/>
      </w:tblGrid>
      <w:tr w:rsidR="000517A5" w:rsidRPr="000517A5" w14:paraId="3F54E8F1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B1EC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PROGRAM 2500 REDOVNA DJELATNOST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A192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PRORAČUN 2025.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3B06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PROMJENA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3EFB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I.REBALANS</w:t>
            </w:r>
          </w:p>
        </w:tc>
      </w:tr>
      <w:tr w:rsidR="000517A5" w:rsidRPr="000517A5" w14:paraId="1DE090A3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4383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Aktivnost A250001 OSNOVNA AKTIVNOST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C9E3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346.870,00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E660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417,00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D3B5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347.287,00</w:t>
            </w:r>
          </w:p>
        </w:tc>
      </w:tr>
      <w:tr w:rsidR="000517A5" w:rsidRPr="000517A5" w14:paraId="7E7A96A6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7470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Kapitalni projekt K250001 NABAVA OPREME ZA LOKALNU RAZVOJNU AGENCIJU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C182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3.530,00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6362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133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3.530,00</w:t>
            </w:r>
          </w:p>
        </w:tc>
      </w:tr>
      <w:tr w:rsidR="000517A5" w:rsidRPr="000517A5" w14:paraId="36A4A219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25631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6CCB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350.400,00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D2A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417,00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90CB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350.817,00</w:t>
            </w:r>
          </w:p>
        </w:tc>
      </w:tr>
    </w:tbl>
    <w:p w14:paraId="35B00C10" w14:textId="77777777" w:rsid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</w:p>
    <w:p w14:paraId="64EB7791" w14:textId="20173745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Osnovna aktivnost Lokalne razvojne agencije Požega odnosi se na rashode za poslovanje, materijalne i financijske rashode koji su potrebni za redovno obavljanje poslovanja.</w:t>
      </w:r>
    </w:p>
    <w:p w14:paraId="3856D164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Nabava opreme za Lokalnu razvojnu agenciju Požega odnosi se na troškove leasinga za automobile te opremu potrebnu za redovno obavljanje poslovanja.</w:t>
      </w:r>
    </w:p>
    <w:p w14:paraId="44C38280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11"/>
        <w:gridCol w:w="930"/>
        <w:gridCol w:w="1123"/>
        <w:gridCol w:w="1253"/>
        <w:gridCol w:w="1242"/>
        <w:gridCol w:w="1282"/>
      </w:tblGrid>
      <w:tr w:rsidR="000517A5" w:rsidRPr="000517A5" w14:paraId="2E7D9D33" w14:textId="77777777" w:rsidTr="000517A5">
        <w:trPr>
          <w:trHeight w:val="43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75ABA964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Pokazatelj uspješnosti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58E46C8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Definicija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E3E3E66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4EC9D6E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4605EA6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PRORAČUN 2025.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01BF067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PROMJENA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AE2810E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I.REBALANS</w:t>
            </w:r>
          </w:p>
        </w:tc>
      </w:tr>
      <w:tr w:rsidR="000517A5" w:rsidRPr="000517A5" w14:paraId="6153CB58" w14:textId="77777777" w:rsidTr="000517A5">
        <w:trPr>
          <w:trHeight w:val="76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4048053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Izvršavanje poslova iz djelokruga rada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BBBBEFA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Uspješnost provedenih aktivnosti kojima se osigurava funkcioniranje Lokalne razvojne agencije Požega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C9A59F5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879DD60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62E8FC1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34DBDD2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87811E7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100</w:t>
            </w:r>
          </w:p>
        </w:tc>
      </w:tr>
      <w:tr w:rsidR="000517A5" w:rsidRPr="000517A5" w14:paraId="7EFD5C63" w14:textId="77777777" w:rsidTr="000517A5">
        <w:trPr>
          <w:trHeight w:val="53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6ACD58B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Popunjenost kapaciteta poslovnih prostora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F8928E4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Broj korisnika s kojima je sklopljen ugovor o zakupu poslovnog prostora u </w:t>
            </w: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lastRenderedPageBreak/>
              <w:t>Poduzetničkom inkubatoru Požega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BF25BD1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lastRenderedPageBreak/>
              <w:t>broj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BB9221D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85E8D6C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E644EBC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92D6EB9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13</w:t>
            </w:r>
          </w:p>
        </w:tc>
      </w:tr>
    </w:tbl>
    <w:p w14:paraId="58CE301C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</w:p>
    <w:p w14:paraId="79187C9B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NAZIV PROGRAMA: PRIPREMA I PROVEDBA PROJEKATA</w:t>
      </w:r>
    </w:p>
    <w:p w14:paraId="3B714FBA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Program se odnosi na poticanje razvoja gospodarstva, turizma, poljoprivrede i organizacija civilnog društva grada Požege kroz pripremu i provedbu projekata financiranih sredstvima Europske unije, nacionalnim i ostalim sredstvima.</w:t>
      </w:r>
    </w:p>
    <w:p w14:paraId="050C7182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Zakonska osnova za uvođenje programa:</w:t>
      </w:r>
    </w:p>
    <w:p w14:paraId="496B4106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 o regionalnom razvoju Republike Hrvatske (Narodne novine, broj: 147/14., 123/17. i 118/18.),</w:t>
      </w:r>
    </w:p>
    <w:p w14:paraId="32AA50E2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Ugovor o pristupanju Republike Hrvatske Europskoj uniji (Narodne novine, Međunarodni ugovori 2/2012.),</w:t>
      </w:r>
    </w:p>
    <w:p w14:paraId="4AEDAF70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 o uspostavi institucionalnog okvira za provedbu Europskih strukturnih i investicijskih fondova u Republici Hrvatskoj u financijskom razdoblju 2014.-2020 (Narodne novine, broj: 92/14.) i</w:t>
      </w:r>
    </w:p>
    <w:p w14:paraId="1B704484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Integrirani teritorijalni program 2021.-2027. (Integrated Territorial Programme 2021 – 2027)</w:t>
      </w:r>
    </w:p>
    <w:p w14:paraId="3D0133DA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Zakon o institucionalnom okviru za korištenje fondova Europske unije u Republici Hrvatskoj („Narodne novine“, broj 116/21),</w:t>
      </w:r>
    </w:p>
    <w:p w14:paraId="722EF900" w14:textId="77777777" w:rsidR="000517A5" w:rsidRP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Uredbe o funkcijama, zadaćama i odgovornosti Koordinacijskog tijela u institucionalnom okviru za korištenje fondova Europske unije u Republici Hrvatskoj u financijskom razdoblju od 2021. do 2027. godine („Narodne novine“, broj 96/22),</w:t>
      </w:r>
    </w:p>
    <w:p w14:paraId="0F1367CB" w14:textId="77777777" w:rsidR="000517A5" w:rsidRDefault="000517A5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Uredbe o tijelima u sustavu upravljanja i kontrole za provedbu programa iz područja teritorijalnih ulaganja i pravedne tranzicije za financijsko razdoblje 2021.- 2027. („Narodne novine“, broj 96/22.).</w:t>
      </w:r>
    </w:p>
    <w:p w14:paraId="40B0AF47" w14:textId="77777777" w:rsidR="00857797" w:rsidRPr="000517A5" w:rsidRDefault="00857797" w:rsidP="000517A5">
      <w:pPr>
        <w:widowControl/>
        <w:numPr>
          <w:ilvl w:val="0"/>
          <w:numId w:val="11"/>
        </w:numPr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696"/>
      </w:tblGrid>
      <w:tr w:rsidR="000517A5" w:rsidRPr="000517A5" w14:paraId="36D5B1AD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94B5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PROGRAM 2501 PRIPREMA I PROVEDBA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EC45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PRORAČUN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1179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PROMJENA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12D8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I.REBALANS</w:t>
            </w:r>
          </w:p>
        </w:tc>
      </w:tr>
      <w:tr w:rsidR="000517A5" w:rsidRPr="000517A5" w14:paraId="73F6D6E9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FF15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Tekući projekt T250001 IZGRADNJA I OPREMANJE ATLETSKOG STADIONA U POŽEGI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9C2D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3220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F646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48.100,00</w:t>
            </w:r>
          </w:p>
        </w:tc>
      </w:tr>
      <w:tr w:rsidR="000517A5" w:rsidRPr="000517A5" w14:paraId="1E6E1B15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8FAB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8A09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38DC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3599" w14:textId="77777777" w:rsidR="000517A5" w:rsidRPr="000517A5" w:rsidRDefault="000517A5" w:rsidP="00A3199E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48.100,00</w:t>
            </w:r>
          </w:p>
        </w:tc>
      </w:tr>
    </w:tbl>
    <w:p w14:paraId="4654E2C4" w14:textId="77777777" w:rsidR="00857797" w:rsidRDefault="00857797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0111A8B5" w14:textId="1C4CB8A9" w:rsid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  <w:r w:rsidRPr="000517A5">
        <w:rPr>
          <w:rFonts w:ascii="Calibri" w:eastAsia="Times New Roman" w:hAnsi="Calibri" w:cs="Calibri"/>
          <w:kern w:val="0"/>
          <w:sz w:val="22"/>
          <w:szCs w:val="22"/>
        </w:rPr>
        <w:t>Izgradnja i opremanje atletskog stadiona u Požegi – cilj projekta je izgradnja i opremanje atletskog stadiona čime će se omogućiti daljnji razvoj atletike na Urbanom području Požega te poticati razvoj sportsko-rekreacijskih sadržaja u funkciji turizma, odnosno razvoj sportsko-rekreacijske infrastrukture.</w:t>
      </w:r>
    </w:p>
    <w:p w14:paraId="50C99083" w14:textId="77777777" w:rsidR="000517A5" w:rsidRPr="000517A5" w:rsidRDefault="000517A5" w:rsidP="000517A5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22"/>
        <w:gridCol w:w="930"/>
        <w:gridCol w:w="1123"/>
        <w:gridCol w:w="1253"/>
        <w:gridCol w:w="1242"/>
        <w:gridCol w:w="1282"/>
      </w:tblGrid>
      <w:tr w:rsidR="000517A5" w:rsidRPr="000517A5" w14:paraId="2B745CFB" w14:textId="77777777" w:rsidTr="000517A5">
        <w:trPr>
          <w:trHeight w:val="4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D81E473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Pokazatelj uspješnosti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B25C834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Definicija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37E2941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A0160D7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1ECFF78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PRORAČUN 2025.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C117B35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PROMJENA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B06737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</w:rPr>
              <w:t>I.REBALANS</w:t>
            </w:r>
          </w:p>
        </w:tc>
      </w:tr>
      <w:tr w:rsidR="000517A5" w:rsidRPr="000517A5" w14:paraId="6A72EA97" w14:textId="77777777" w:rsidTr="000517A5">
        <w:trPr>
          <w:trHeight w:val="7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A1FE546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Broj održanih partnerskih sastanaka u sklopu projekta Izgradnja i opremanje atletskog stadiona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4AB6AF9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Broj održanih partnerskih sastanaka u sklopu provedbe projektnih aktivnosti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F33A34E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broj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B0CC0CD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34D4DAB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7A960C1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7F19877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12</w:t>
            </w:r>
          </w:p>
        </w:tc>
      </w:tr>
      <w:tr w:rsidR="000517A5" w:rsidRPr="000517A5" w14:paraId="4F95773E" w14:textId="77777777" w:rsidTr="000517A5">
        <w:trPr>
          <w:trHeight w:val="7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59E8922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Broj pripremljenih i provedenih projekata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DFFB4DE" w14:textId="77777777" w:rsidR="000517A5" w:rsidRPr="000517A5" w:rsidRDefault="000517A5" w:rsidP="000517A5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Broj pripremljenih i provedenih projekata u kojima </w:t>
            </w: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lastRenderedPageBreak/>
              <w:t>sudjeluje Javna ustanova Lokalna razvojna agencija Požega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CA887C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lastRenderedPageBreak/>
              <w:t>broj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E2BCBD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66F6146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9F38043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D8C6F45" w14:textId="77777777" w:rsidR="000517A5" w:rsidRPr="000517A5" w:rsidRDefault="000517A5" w:rsidP="00A3199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0517A5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30</w:t>
            </w:r>
          </w:p>
        </w:tc>
      </w:tr>
    </w:tbl>
    <w:p w14:paraId="4A691F6C" w14:textId="77777777" w:rsidR="000517A5" w:rsidRDefault="000517A5" w:rsidP="00944B30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</w:rPr>
      </w:pPr>
    </w:p>
    <w:sectPr w:rsidR="0005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500A"/>
    <w:multiLevelType w:val="hybridMultilevel"/>
    <w:tmpl w:val="5FC8D0AA"/>
    <w:lvl w:ilvl="0" w:tplc="5BE85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1E4B47"/>
    <w:multiLevelType w:val="hybridMultilevel"/>
    <w:tmpl w:val="C4BCE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BB7"/>
    <w:multiLevelType w:val="hybridMultilevel"/>
    <w:tmpl w:val="7D082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6B3"/>
    <w:multiLevelType w:val="hybridMultilevel"/>
    <w:tmpl w:val="8788D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E52"/>
    <w:multiLevelType w:val="hybridMultilevel"/>
    <w:tmpl w:val="8AA8C918"/>
    <w:lvl w:ilvl="0" w:tplc="C00AB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5C13"/>
    <w:multiLevelType w:val="multilevel"/>
    <w:tmpl w:val="243EA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527EA8"/>
    <w:multiLevelType w:val="hybridMultilevel"/>
    <w:tmpl w:val="AF028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1A88"/>
    <w:multiLevelType w:val="hybridMultilevel"/>
    <w:tmpl w:val="F34EB31A"/>
    <w:lvl w:ilvl="0" w:tplc="C00AB7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42C7A"/>
    <w:multiLevelType w:val="multilevel"/>
    <w:tmpl w:val="C0065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131DEE"/>
    <w:multiLevelType w:val="hybridMultilevel"/>
    <w:tmpl w:val="E3E669AA"/>
    <w:lvl w:ilvl="0" w:tplc="C00AB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868A4"/>
    <w:multiLevelType w:val="hybridMultilevel"/>
    <w:tmpl w:val="F84E95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550">
    <w:abstractNumId w:val="7"/>
  </w:num>
  <w:num w:numId="2" w16cid:durableId="63917977">
    <w:abstractNumId w:val="6"/>
  </w:num>
  <w:num w:numId="3" w16cid:durableId="790974957">
    <w:abstractNumId w:val="3"/>
  </w:num>
  <w:num w:numId="4" w16cid:durableId="356002763">
    <w:abstractNumId w:val="2"/>
  </w:num>
  <w:num w:numId="5" w16cid:durableId="1720283709">
    <w:abstractNumId w:val="1"/>
  </w:num>
  <w:num w:numId="6" w16cid:durableId="846529146">
    <w:abstractNumId w:val="0"/>
  </w:num>
  <w:num w:numId="7" w16cid:durableId="961572902">
    <w:abstractNumId w:val="8"/>
  </w:num>
  <w:num w:numId="8" w16cid:durableId="292515890">
    <w:abstractNumId w:val="10"/>
  </w:num>
  <w:num w:numId="9" w16cid:durableId="1681853573">
    <w:abstractNumId w:val="5"/>
  </w:num>
  <w:num w:numId="10" w16cid:durableId="2084794986">
    <w:abstractNumId w:val="9"/>
  </w:num>
  <w:num w:numId="11" w16cid:durableId="13553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2B"/>
    <w:rsid w:val="00010102"/>
    <w:rsid w:val="00015DF6"/>
    <w:rsid w:val="00036C93"/>
    <w:rsid w:val="000517A5"/>
    <w:rsid w:val="0006355B"/>
    <w:rsid w:val="00076571"/>
    <w:rsid w:val="00076B09"/>
    <w:rsid w:val="00077CF3"/>
    <w:rsid w:val="00081352"/>
    <w:rsid w:val="000B5727"/>
    <w:rsid w:val="000E5513"/>
    <w:rsid w:val="001A0D69"/>
    <w:rsid w:val="002075EF"/>
    <w:rsid w:val="00216808"/>
    <w:rsid w:val="00251F0C"/>
    <w:rsid w:val="00271F8E"/>
    <w:rsid w:val="00273A05"/>
    <w:rsid w:val="00293C10"/>
    <w:rsid w:val="00327BBD"/>
    <w:rsid w:val="00366CBA"/>
    <w:rsid w:val="003C1184"/>
    <w:rsid w:val="00410008"/>
    <w:rsid w:val="00413EE8"/>
    <w:rsid w:val="00463236"/>
    <w:rsid w:val="004C719C"/>
    <w:rsid w:val="004F7AF7"/>
    <w:rsid w:val="005030F8"/>
    <w:rsid w:val="00507D18"/>
    <w:rsid w:val="00510F80"/>
    <w:rsid w:val="0052263D"/>
    <w:rsid w:val="00582C26"/>
    <w:rsid w:val="005D69C5"/>
    <w:rsid w:val="00654163"/>
    <w:rsid w:val="00672ED2"/>
    <w:rsid w:val="00680BD1"/>
    <w:rsid w:val="00687579"/>
    <w:rsid w:val="006F35C4"/>
    <w:rsid w:val="00764E27"/>
    <w:rsid w:val="008302E9"/>
    <w:rsid w:val="00845DBA"/>
    <w:rsid w:val="00857797"/>
    <w:rsid w:val="008B332C"/>
    <w:rsid w:val="008E4C37"/>
    <w:rsid w:val="009246F9"/>
    <w:rsid w:val="00927758"/>
    <w:rsid w:val="00944B30"/>
    <w:rsid w:val="00972D92"/>
    <w:rsid w:val="00973343"/>
    <w:rsid w:val="009778ED"/>
    <w:rsid w:val="009A3C2B"/>
    <w:rsid w:val="009F618F"/>
    <w:rsid w:val="00A30977"/>
    <w:rsid w:val="00A3199E"/>
    <w:rsid w:val="00A44926"/>
    <w:rsid w:val="00A83EAB"/>
    <w:rsid w:val="00A85028"/>
    <w:rsid w:val="00AC09B3"/>
    <w:rsid w:val="00AC47EA"/>
    <w:rsid w:val="00AD6815"/>
    <w:rsid w:val="00B052B0"/>
    <w:rsid w:val="00B1709B"/>
    <w:rsid w:val="00B83189"/>
    <w:rsid w:val="00C05C40"/>
    <w:rsid w:val="00C113D3"/>
    <w:rsid w:val="00C34BCC"/>
    <w:rsid w:val="00C64156"/>
    <w:rsid w:val="00C64A41"/>
    <w:rsid w:val="00C71324"/>
    <w:rsid w:val="00CA46CF"/>
    <w:rsid w:val="00D2163B"/>
    <w:rsid w:val="00D52114"/>
    <w:rsid w:val="00D664FB"/>
    <w:rsid w:val="00D94F2B"/>
    <w:rsid w:val="00DA179F"/>
    <w:rsid w:val="00DC09A3"/>
    <w:rsid w:val="00DF199F"/>
    <w:rsid w:val="00E21D10"/>
    <w:rsid w:val="00E26DB1"/>
    <w:rsid w:val="00E7670B"/>
    <w:rsid w:val="00ED7EAD"/>
    <w:rsid w:val="00F16968"/>
    <w:rsid w:val="00F80759"/>
    <w:rsid w:val="00FE3DAA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29C"/>
  <w15:chartTrackingRefBased/>
  <w15:docId w15:val="{473536C5-C5D1-4688-B1A8-55125E41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C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C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C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C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C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C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C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C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C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C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C2B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944B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4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Čeliković</dc:creator>
  <cp:keywords/>
  <dc:description/>
  <cp:lastModifiedBy>LO-RA 01</cp:lastModifiedBy>
  <cp:revision>29</cp:revision>
  <cp:lastPrinted>2025-04-03T05:15:00Z</cp:lastPrinted>
  <dcterms:created xsi:type="dcterms:W3CDTF">2024-05-17T07:26:00Z</dcterms:created>
  <dcterms:modified xsi:type="dcterms:W3CDTF">2025-04-03T05:22:00Z</dcterms:modified>
</cp:coreProperties>
</file>